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BCEA7">
      <w:pPr>
        <w:jc w:val="center"/>
        <w:rPr>
          <w:rFonts w:hint="eastAsia" w:ascii="黑体" w:hAnsi="黑体" w:eastAsia="黑体"/>
          <w:sz w:val="40"/>
          <w:szCs w:val="32"/>
        </w:rPr>
      </w:pPr>
    </w:p>
    <w:p w14:paraId="6A04D05D">
      <w:pPr>
        <w:jc w:val="center"/>
        <w:rPr>
          <w:rFonts w:hint="eastAsia" w:ascii="黑体" w:hAnsi="黑体" w:eastAsia="黑体"/>
          <w:sz w:val="40"/>
          <w:szCs w:val="32"/>
        </w:rPr>
      </w:pPr>
    </w:p>
    <w:p w14:paraId="6BB914A4">
      <w:pPr>
        <w:jc w:val="center"/>
        <w:rPr>
          <w:rFonts w:hint="eastAsia" w:ascii="黑体" w:hAnsi="黑体" w:eastAsia="黑体" w:cstheme="minorBidi"/>
          <w:b w:val="0"/>
          <w:bCs w:val="0"/>
          <w:sz w:val="44"/>
          <w:szCs w:val="44"/>
        </w:rPr>
      </w:pPr>
      <w:r>
        <w:rPr>
          <w:rFonts w:hint="eastAsia" w:ascii="黑体" w:hAnsi="黑体" w:eastAsia="黑体"/>
          <w:sz w:val="40"/>
          <w:szCs w:val="32"/>
        </w:rPr>
        <w:t>精益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</w:rPr>
        <w:t>成果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  <w:lang w:val="en-US" w:eastAsia="zh-CN"/>
        </w:rPr>
        <w:t>报告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</w:rPr>
        <w:t>书</w:t>
      </w:r>
    </w:p>
    <w:p w14:paraId="6510200C">
      <w:pPr>
        <w:spacing w:line="240" w:lineRule="auto"/>
        <w:jc w:val="center"/>
        <w:rPr>
          <w:rFonts w:hint="eastAsia" w:ascii="黑体" w:hAnsi="黑体" w:eastAsia="黑体" w:cstheme="minorBidi"/>
          <w:b w:val="0"/>
          <w:bCs w:val="0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（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封面</w:t>
      </w:r>
      <w:r>
        <w:rPr>
          <w:rFonts w:hint="eastAsia" w:ascii="黑体" w:hAnsi="黑体" w:eastAsia="黑体"/>
          <w:sz w:val="44"/>
          <w:szCs w:val="44"/>
        </w:rPr>
        <w:t>）</w:t>
      </w:r>
    </w:p>
    <w:p w14:paraId="52B2BEA5">
      <w:pPr>
        <w:rPr>
          <w:rFonts w:hint="eastAsia" w:ascii="黑体" w:hAnsi="黑体" w:eastAsia="黑体" w:cs="黑体"/>
          <w:sz w:val="40"/>
          <w:szCs w:val="40"/>
        </w:rPr>
      </w:pPr>
    </w:p>
    <w:p w14:paraId="4EE535F4">
      <w:pPr>
        <w:rPr>
          <w:rFonts w:hint="eastAsia" w:ascii="黑体" w:hAnsi="黑体" w:eastAsia="黑体" w:cs="黑体"/>
          <w:sz w:val="40"/>
          <w:szCs w:val="40"/>
        </w:rPr>
      </w:pPr>
    </w:p>
    <w:p w14:paraId="183AE6F4">
      <w:pPr>
        <w:rPr>
          <w:rFonts w:hint="eastAsia" w:ascii="黑体" w:hAnsi="黑体" w:eastAsia="黑体" w:cs="黑体"/>
          <w:sz w:val="40"/>
          <w:szCs w:val="40"/>
        </w:rPr>
      </w:pPr>
    </w:p>
    <w:p w14:paraId="12C1D3DB">
      <w:pPr>
        <w:rPr>
          <w:rFonts w:hint="eastAsia" w:ascii="黑体" w:hAnsi="黑体" w:eastAsia="黑体" w:cs="黑体"/>
          <w:sz w:val="40"/>
          <w:szCs w:val="40"/>
        </w:rPr>
      </w:pPr>
    </w:p>
    <w:p w14:paraId="69D65B58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名称：</w:t>
      </w:r>
    </w:p>
    <w:p w14:paraId="3F1F25A7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类别：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□医疗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□护理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>□医技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□行政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□后勤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□公卫</w:t>
      </w:r>
    </w:p>
    <w:p w14:paraId="4E21F889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所属医院：</w:t>
      </w:r>
    </w:p>
    <w:p w14:paraId="59D02AED">
      <w:pPr>
        <w:spacing w:line="480" w:lineRule="auto"/>
        <w:ind w:firstLineChars="200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28"/>
          <w:szCs w:val="28"/>
        </w:rPr>
        <w:t>医院级别：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□三级综合医院  □二级医院  </w:t>
      </w:r>
    </w:p>
    <w:p w14:paraId="442B4ABC">
      <w:pPr>
        <w:spacing w:line="480" w:lineRule="auto"/>
        <w:ind w:firstLine="1960" w:firstLineChars="7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121B019F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所属科室：</w:t>
      </w:r>
    </w:p>
    <w:p w14:paraId="1C2A8D35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63A0CC8D">
      <w:pPr>
        <w:spacing w:line="600" w:lineRule="auto"/>
        <w:rPr>
          <w:sz w:val="40"/>
          <w:szCs w:val="40"/>
        </w:rPr>
      </w:pPr>
    </w:p>
    <w:p w14:paraId="18A4843A">
      <w:pP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66E12AF">
      <w:pPr>
        <w:jc w:val="center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BB46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center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目录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(精益)</w:t>
      </w:r>
    </w:p>
    <w:p w14:paraId="1D692D45">
      <w:pPr>
        <w:pStyle w:val="4"/>
        <w:keepNext w:val="0"/>
        <w:keepLines w:val="0"/>
        <w:pageBreakBefore w:val="0"/>
        <w:widowControl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TOC \o "1-2" \h \u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_Toc15303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一、主题选定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_Toc15303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495101D3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_Toc10900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（一）主题背景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_Toc10900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0140FC2A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_Toc20900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（二）主题释义与衡量指标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_Toc20900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A77BA5E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_Toc31746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（三）组织团队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_Toc31746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1BA6BD2C">
      <w:pPr>
        <w:pStyle w:val="4"/>
        <w:keepNext w:val="0"/>
        <w:keepLines w:val="0"/>
        <w:pageBreakBefore w:val="0"/>
        <w:widowControl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_Toc28778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二、现况把握与目标设定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_Toc28778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49A9340E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_Toc535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（一）现况调查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_Toc535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6417D01B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_Toc25618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（二）明确目标值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_Toc25618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1D292F49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_Toc3599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（三）拟定项目推进计划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_Toc3599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10FA1526">
      <w:pPr>
        <w:pStyle w:val="4"/>
        <w:keepNext w:val="0"/>
        <w:keepLines w:val="0"/>
        <w:pageBreakBefore w:val="0"/>
        <w:widowControl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_Toc8572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三、原因分析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_Toc8572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5F86DA9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_Toc28535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（一）原因分析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_Toc28535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3DA62DB7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_Toc30575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（二）关键末端原因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_Toc30575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393AFD0A">
      <w:pPr>
        <w:pStyle w:val="4"/>
        <w:keepNext w:val="0"/>
        <w:keepLines w:val="0"/>
        <w:pageBreakBefore w:val="0"/>
        <w:widowControl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_Toc10690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四、对策拟定与实施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_Toc10690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7EA6AE17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_Toc5194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（一）拟定对策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_Toc5194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0F7735BC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_Toc28573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（二）对策实施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_Toc28573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1F2FF8A0">
      <w:pPr>
        <w:pStyle w:val="4"/>
        <w:keepNext w:val="0"/>
        <w:keepLines w:val="0"/>
        <w:pageBreakBefore w:val="0"/>
        <w:widowControl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_Toc28302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五、效果评价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_Toc28302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3A543005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_Toc23020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（一）改善效果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_Toc23020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4FCEC5F7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fldChar w:fldCharType="begin"/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instrText xml:space="preserve"> HYPERLINK \l _Toc20077 </w:instrTex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fldChar w:fldCharType="separate"/>
      </w:r>
      <w:r>
        <w:rPr>
          <w:rFonts w:hint="eastAsia" w:ascii="Times New Roman" w:hAnsi="Times New Roman" w:eastAsia="宋体" w:cs="Times New Roman"/>
          <w:sz w:val="22"/>
          <w:szCs w:val="22"/>
          <w:lang w:val="zh-CN" w:eastAsia="zh-CN"/>
        </w:rPr>
        <w:t>（二）标准化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页码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fldChar w:fldCharType="end"/>
      </w:r>
    </w:p>
    <w:p w14:paraId="1F04E970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instrText xml:space="preserve"> HYPERLINK \l _Toc16269 </w:instrTex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sz w:val="22"/>
          <w:szCs w:val="22"/>
          <w:lang w:val="zh-CN" w:eastAsia="zh-CN"/>
        </w:rPr>
        <w:t>（三）效果维持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页码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fldChar w:fldCharType="end"/>
      </w:r>
    </w:p>
    <w:p w14:paraId="0097E2CB">
      <w:pPr>
        <w:pStyle w:val="5"/>
        <w:keepNext w:val="0"/>
        <w:keepLines w:val="0"/>
        <w:pageBreakBefore w:val="0"/>
        <w:widowControl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instrText xml:space="preserve"> HYPERLINK \l _Toc26868 </w:instrTex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sz w:val="22"/>
          <w:szCs w:val="22"/>
          <w:lang w:val="zh-CN" w:eastAsia="zh-CN"/>
        </w:rPr>
        <w:t>六、检讨与改进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页码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fldChar w:fldCharType="end"/>
      </w:r>
    </w:p>
    <w:p w14:paraId="70EB80C2"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A3D0F"/>
    <w:rsid w:val="250A3D0F"/>
    <w:rsid w:val="4DD16703"/>
    <w:rsid w:val="68B0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styleId="4">
    <w:name w:val="toc 1"/>
    <w:basedOn w:val="1"/>
    <w:next w:val="1"/>
    <w:unhideWhenUsed/>
    <w:qFormat/>
    <w:uiPriority w:val="39"/>
    <w:pPr>
      <w:tabs>
        <w:tab w:val="left" w:pos="840"/>
        <w:tab w:val="right" w:leader="dot" w:pos="8962"/>
      </w:tabs>
    </w:pPr>
    <w:rPr>
      <w:rFonts w:ascii="Times New Roman" w:hAnsi="Times New Roman" w:eastAsia="宋体" w:cs="Times New Roman"/>
      <w:szCs w:val="24"/>
    </w:rPr>
  </w:style>
  <w:style w:type="paragraph" w:styleId="5">
    <w:name w:val="toc 2"/>
    <w:basedOn w:val="1"/>
    <w:next w:val="1"/>
    <w:unhideWhenUsed/>
    <w:qFormat/>
    <w:uiPriority w:val="39"/>
    <w:pPr>
      <w:tabs>
        <w:tab w:val="left" w:pos="1470"/>
        <w:tab w:val="right" w:leader="dot" w:pos="8962"/>
      </w:tabs>
      <w:ind w:left="420" w:left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280</Characters>
  <Lines>0</Lines>
  <Paragraphs>0</Paragraphs>
  <TotalTime>0</TotalTime>
  <ScaleCrop>false</ScaleCrop>
  <LinksUpToDate>false</LinksUpToDate>
  <CharactersWithSpaces>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2026-06-08T07:03:00Z</dcterms:created>
  <dc:creator>Kim Wong</dc:creator>
  <cp:lastModifiedBy>Kim Wong</cp:lastModifiedBy>
  <dcterms:modified xsi:type="dcterms:W3CDTF">2026-06-24T01:15:34Z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45E74E470DBD48019A97A7C2A8CCDDE4_11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